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3985" w14:textId="77777777" w:rsidR="00ED6F4B" w:rsidRPr="00ED6F4B" w:rsidRDefault="00ED6F4B" w:rsidP="00ED6F4B">
      <w:pPr>
        <w:rPr>
          <w:rFonts w:ascii="Times New Roman" w:hAnsi="Times New Roman" w:cs="Times New Roman"/>
        </w:rPr>
      </w:pPr>
    </w:p>
    <w:p w14:paraId="3D005D3D" w14:textId="3D9D5B02" w:rsidR="00ED6F4B" w:rsidRPr="00ED6F4B" w:rsidRDefault="00ED6F4B" w:rsidP="00ED6F4B">
      <w:pPr>
        <w:jc w:val="center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  <w:b/>
          <w:bCs/>
        </w:rPr>
        <w:t>ПРОЦЕДУРА РОЗГЛЯДУ ЗВЕРНЕНЬ/СКАРГ/ПРЕТЕНЗІЙ</w:t>
      </w:r>
    </w:p>
    <w:p w14:paraId="5205C74C" w14:textId="231D2920" w:rsidR="00ED6F4B" w:rsidRPr="00ED6F4B" w:rsidRDefault="00ED6F4B" w:rsidP="00ED6F4B">
      <w:pPr>
        <w:jc w:val="center"/>
        <w:rPr>
          <w:rFonts w:ascii="Times New Roman" w:hAnsi="Times New Roman" w:cs="Times New Roman"/>
          <w:b/>
          <w:bCs/>
        </w:rPr>
      </w:pPr>
      <w:r w:rsidRPr="00ED6F4B">
        <w:rPr>
          <w:rFonts w:ascii="Times New Roman" w:hAnsi="Times New Roman" w:cs="Times New Roman"/>
          <w:b/>
          <w:bCs/>
        </w:rPr>
        <w:t>1. ЗАГАЛЬНІ ПОЛОЖЕННЯ</w:t>
      </w:r>
    </w:p>
    <w:p w14:paraId="42BB9C28" w14:textId="77777777" w:rsidR="00ED6F4B" w:rsidRPr="00ED6F4B" w:rsidRDefault="00ED6F4B" w:rsidP="00ED6F4B">
      <w:pPr>
        <w:jc w:val="both"/>
        <w:rPr>
          <w:rFonts w:ascii="Times New Roman" w:hAnsi="Times New Roman" w:cs="Times New Roman"/>
        </w:rPr>
      </w:pPr>
    </w:p>
    <w:p w14:paraId="0DF195CB" w14:textId="77777777" w:rsidR="00ED6F4B" w:rsidRPr="00ED6F4B" w:rsidRDefault="00ED6F4B" w:rsidP="00ED6F4B">
      <w:pPr>
        <w:ind w:firstLine="708"/>
        <w:jc w:val="both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</w:rPr>
        <w:t>Процедура розгляду звернень/скарг/претензій (далі - Процедура) визначає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порядок роботи із зверненнями/скаргами/претензіями споживачів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до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ТОВ "ЕНЕРГО-ГАЗ" та можливі результати їх розгляду.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Процедура - це комплекс обов'язкових для виконання правил та заходів,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спрямованих на забезпечення ефективної та прозорої роботи підрозділів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ТОВ "ЕНЕРГО-ГАЗ" зі зверненнями споживачів. Дія Процедури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поширюється на співробітників ТОВ "ЕНЕРГО-ГАЗ", задіяних в процесі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роботи зі зверненнями споживачів.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Розгляд скарг та вирішення спорів здійснюється у порядку, визначеному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цією Процедурою, Правилами роздрібного ринку електричної енергії, Кодексом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систем розподілу та іншими нормативно-правовими актами Національної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комісії, що здійснює державне регулювання у сферах енергетики та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комунальних послуг.</w:t>
      </w:r>
    </w:p>
    <w:p w14:paraId="54710B89" w14:textId="5D855F61" w:rsidR="00ED6F4B" w:rsidRPr="00ED6F4B" w:rsidRDefault="00ED6F4B" w:rsidP="00ED6F4B">
      <w:pPr>
        <w:jc w:val="center"/>
        <w:rPr>
          <w:rFonts w:ascii="Times New Roman" w:hAnsi="Times New Roman" w:cs="Times New Roman"/>
          <w:b/>
          <w:bCs/>
        </w:rPr>
      </w:pPr>
      <w:r w:rsidRPr="00ED6F4B">
        <w:rPr>
          <w:rFonts w:ascii="Times New Roman" w:hAnsi="Times New Roman" w:cs="Times New Roman"/>
          <w:b/>
          <w:bCs/>
        </w:rPr>
        <w:t>2. ПОРЯДОК РОЗГЛЯДУ ЗВЕРНЕНЬ/СКАРГ/ПРЕТЕНЗІЙ</w:t>
      </w:r>
    </w:p>
    <w:p w14:paraId="32627370" w14:textId="58B9369D" w:rsidR="00ED6F4B" w:rsidRPr="00ED6F4B" w:rsidRDefault="00ED6F4B" w:rsidP="00ED6F4B">
      <w:pPr>
        <w:ind w:firstLine="708"/>
        <w:jc w:val="both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</w:rPr>
        <w:t>ТОВ "ЕНЕРГО-ГАЗ</w:t>
      </w:r>
      <w:r w:rsidRPr="00ED6F4B">
        <w:rPr>
          <w:rFonts w:ascii="Times New Roman" w:hAnsi="Times New Roman" w:cs="Times New Roman"/>
          <w:b/>
          <w:bCs/>
        </w:rPr>
        <w:t>"</w:t>
      </w:r>
      <w:r w:rsidRPr="00ED6F4B">
        <w:rPr>
          <w:rFonts w:ascii="Times New Roman" w:hAnsi="Times New Roman" w:cs="Times New Roman"/>
        </w:rPr>
        <w:t xml:space="preserve"> здійснює фіксацію отриманих від споживача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звернень/скарг/претензій в окремому єдиному реєстрі, форма якого затверджена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наказом ТОВ "ЕНЕРГО-ГАЗ" та розміщена на веб-сайті підприємства.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Отримані ТОВ "ЕНЕРГО-ГАЗ" інформація та/або матеріали від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споживача додаються до звернення/скарги/претензії. Звернення/скарга/претензія розглядаються в найкоротший строк, але небільше 30 календарних днів з дати її отримання. Якщо під час розгляду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звернення/скарги/претензії необхідно здійснити технічну перевірку або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провести експертизу засобу комерційного обліку, строк розгляду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звернення/скарги/претензії призупиняється на час проведення технічної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перевірки або експертизи, про що повідомляється споживач, який подав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звернення/скаргу/претензію. Відлік перебігу строку розгляду у цьому разі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поновлюється з дати отримання результатів технічної перевірки або експертизи,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про що повідомляється споживач, який подав звернення /скаргу/претензію. При цьому загальний строк розгляду зазначеного звернення/скарги/претензії не може перевищувати 45 днів.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Звернення/скарги/претензії побутових споживачів, які мають встановлені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законодавством пільги, розглядаються першочергово.</w:t>
      </w:r>
    </w:p>
    <w:p w14:paraId="6453F245" w14:textId="77777777" w:rsidR="00ED6F4B" w:rsidRPr="00ED6F4B" w:rsidRDefault="00ED6F4B" w:rsidP="00ED6F4B">
      <w:pPr>
        <w:ind w:firstLine="708"/>
        <w:jc w:val="both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</w:rPr>
        <w:t>ТОВ "ЕНЕРГО-ГАЗ" розглядає звернення споживачів щодо перевірки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правильності рахунку за електричну енергію у строк до 5 робочих днів з дня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отримання такого звернення.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Разом із відповіддю споживачу надається інформація щодо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альтернативних механізмів та шляхів вирішення відповідних спорів (питань) та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контактні дані відповідальних органів державної влади, місцевого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самоврядування, посадових осіб, уповноважених розглядати такі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звернення/скарги/претензії. У разі отримання ТОВ "ЕНЕРГО-ГАЗ" звернення/скарги/претензії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споживача з питань, що не належать до його компетенції, він надсилає таке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звернення/скаргу/претензію за належністю відповідному учаснику роздрібного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ринку відповідно до компетенції протягом 5 робочих днів, про що в цей же строк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повідомляє споживача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.База даних щодо звернень/скарг/претензій споживачів зберігається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протягом 5 років.</w:t>
      </w:r>
    </w:p>
    <w:p w14:paraId="1D68EE29" w14:textId="60A8E6D3" w:rsidR="00ED6F4B" w:rsidRPr="00ED6F4B" w:rsidRDefault="00ED6F4B" w:rsidP="00ED6F4B">
      <w:pPr>
        <w:jc w:val="center"/>
        <w:rPr>
          <w:rFonts w:ascii="Times New Roman" w:hAnsi="Times New Roman" w:cs="Times New Roman"/>
          <w:b/>
          <w:bCs/>
        </w:rPr>
      </w:pPr>
      <w:r w:rsidRPr="00ED6F4B">
        <w:rPr>
          <w:rFonts w:ascii="Times New Roman" w:hAnsi="Times New Roman" w:cs="Times New Roman"/>
          <w:b/>
          <w:bCs/>
        </w:rPr>
        <w:t>3. ОСКАРЖЕННЯ РІШЕНЬ СПОЖИВАЧЕМ</w:t>
      </w:r>
    </w:p>
    <w:p w14:paraId="05F35F6A" w14:textId="04E6982F" w:rsidR="00ED6F4B" w:rsidRPr="00ED6F4B" w:rsidRDefault="00ED6F4B" w:rsidP="00ED6F4B">
      <w:pPr>
        <w:ind w:firstLine="708"/>
        <w:jc w:val="both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</w:rPr>
        <w:t>Якщо споживач не згоден з рішенням, прийнятим за його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зверненням/скаргою/претензією, він має право оскаржити таке рішення шляхом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звернення протягом 1 року з моменту його прийняття до Національної комісії,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що здійснює державне регулювання у сферах енергетики та комунальних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послуг, або енергетичного омбудсмена. Пропущений з поважної причини строк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оскарження рішення може бути поновлений органом чи посадовою особою, що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розглядає скаргу.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Розгляд скарг споживачів та вирішення спорів здійснюються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Національною комісією, що здійснює державне регулювання у сферах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енергетики та комунальних послуг, у порядку, визначеному правилами розгляду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звернень споживачів щодо дій суб'єктів господарювання, що провадять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діяльність у сферах енергетики та/або комунальних послуг, та врегулювання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спорів, затвердженими Національною комісією, що здійснює державне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регулювання у сферах енергетики та комунальних послуг.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Розгляд скарг побутових та малих непобутових споживачів, вирішення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спорів здійснюються енергетичним омбудсменом у порядку, встановленому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законодавством України, та Національною комісією, що здійснює державне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lastRenderedPageBreak/>
        <w:t>регулювання у сферах енергетики та комунальних послуг, у межах її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повноважень, а також вирішуються у судовому порядку.</w:t>
      </w:r>
    </w:p>
    <w:p w14:paraId="1E7541BF" w14:textId="77777777" w:rsidR="00ED6F4B" w:rsidRPr="00ED6F4B" w:rsidRDefault="00ED6F4B" w:rsidP="00ED6F4B">
      <w:pPr>
        <w:jc w:val="center"/>
        <w:rPr>
          <w:rFonts w:ascii="Times New Roman" w:hAnsi="Times New Roman" w:cs="Times New Roman"/>
          <w:b/>
          <w:bCs/>
        </w:rPr>
      </w:pPr>
      <w:r w:rsidRPr="00ED6F4B">
        <w:rPr>
          <w:rFonts w:ascii="Times New Roman" w:hAnsi="Times New Roman" w:cs="Times New Roman"/>
          <w:b/>
          <w:bCs/>
        </w:rPr>
        <w:t>4. ЗВІТУВАННЯ ПРО РОЗГЛЯД ЗВЕРНЕНЬ/СКАРГ/ПРЕТЕНЗІЙ СПОЖИВАЧІВ</w:t>
      </w:r>
    </w:p>
    <w:p w14:paraId="46A7420B" w14:textId="1367FA48" w:rsidR="001710D3" w:rsidRPr="00ED6F4B" w:rsidRDefault="00ED6F4B" w:rsidP="00ED6F4B">
      <w:pPr>
        <w:ind w:firstLine="708"/>
        <w:jc w:val="both"/>
        <w:rPr>
          <w:rFonts w:ascii="Times New Roman" w:hAnsi="Times New Roman" w:cs="Times New Roman"/>
        </w:rPr>
      </w:pPr>
      <w:r w:rsidRPr="00ED6F4B">
        <w:rPr>
          <w:rFonts w:ascii="Times New Roman" w:hAnsi="Times New Roman" w:cs="Times New Roman"/>
        </w:rPr>
        <w:t>ТОВ "ЕНЕРГО-ГАЗ" оприлюднює на своєму офіційному веб-сайті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щорічний звіт щодо розгляду звернень/скарг/претензій у строки та за формою,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що ви</w:t>
      </w:r>
      <w:r w:rsidRPr="00ED6F4B">
        <w:rPr>
          <w:rFonts w:ascii="Times New Roman" w:eastAsia="Times New Roman" w:hAnsi="Times New Roman" w:cs="Times New Roman" w:hint="eastAsia"/>
        </w:rPr>
        <w:t>􀀐</w:t>
      </w:r>
      <w:r w:rsidRPr="00ED6F4B">
        <w:rPr>
          <w:rFonts w:ascii="Times New Roman" w:hAnsi="Times New Roman" w:cs="Times New Roman"/>
        </w:rPr>
        <w:t>значені Правилами роздрібного ринку електричної енергії.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ТОВ "ЕНЕРГО-ГАЗ" звітує Національній комісії, що здійснює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державне регулювання у сферах енергетики та комунальних послуг, та в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Державну інспекцію енергетичного нагляду України про розгляд</w:t>
      </w:r>
      <w:r w:rsidRPr="00ED6F4B">
        <w:rPr>
          <w:rFonts w:ascii="Times New Roman" w:hAnsi="Times New Roman" w:cs="Times New Roman"/>
        </w:rPr>
        <w:t xml:space="preserve"> </w:t>
      </w:r>
      <w:r w:rsidRPr="00ED6F4B">
        <w:rPr>
          <w:rFonts w:ascii="Times New Roman" w:hAnsi="Times New Roman" w:cs="Times New Roman"/>
        </w:rPr>
        <w:t>звернень/скарг/претензій споживачів відповідно до затвердженого нею порядку.</w:t>
      </w:r>
    </w:p>
    <w:sectPr w:rsidR="001710D3" w:rsidRPr="00ED6F4B" w:rsidSect="00B76BE1">
      <w:pgSz w:w="11910" w:h="16840"/>
      <w:pgMar w:top="818" w:right="720" w:bottom="920" w:left="1599" w:header="0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B3"/>
    <w:rsid w:val="001710D3"/>
    <w:rsid w:val="00494726"/>
    <w:rsid w:val="00615EAC"/>
    <w:rsid w:val="008A7F4B"/>
    <w:rsid w:val="009D47B3"/>
    <w:rsid w:val="00A34F94"/>
    <w:rsid w:val="00AA3CA6"/>
    <w:rsid w:val="00B76BE1"/>
    <w:rsid w:val="00BC676D"/>
    <w:rsid w:val="00EC25FB"/>
    <w:rsid w:val="00ED6F4B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DB87"/>
  <w15:chartTrackingRefBased/>
  <w15:docId w15:val="{54A5D1AD-CCE0-403E-B099-DD0E4045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4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47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7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7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47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47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47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4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4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5C7CCA155AE141802138603B4BAA73" ma:contentTypeVersion="15" ma:contentTypeDescription="Створення нового документа." ma:contentTypeScope="" ma:versionID="64da1697ef4f32fc82b59944d13c1579">
  <xsd:schema xmlns:xsd="http://www.w3.org/2001/XMLSchema" xmlns:xs="http://www.w3.org/2001/XMLSchema" xmlns:p="http://schemas.microsoft.com/office/2006/metadata/properties" xmlns:ns2="56a5cba7-5ca6-4201-90af-65e676d3b2d4" xmlns:ns3="5b747efb-b8de-44c3-930f-67734092e222" targetNamespace="http://schemas.microsoft.com/office/2006/metadata/properties" ma:root="true" ma:fieldsID="bc1fa7b5f6e6fc6410035a98b53e9bf5" ns2:_="" ns3:_="">
    <xsd:import namespace="56a5cba7-5ca6-4201-90af-65e676d3b2d4"/>
    <xsd:import namespace="5b747efb-b8de-44c3-930f-67734092e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cba7-5ca6-4201-90af-65e676d3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ce317c29-620a-49f5-91e4-309d5b98c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7efb-b8de-44c3-930f-67734092e2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402e77-6048-43ad-98ed-e34a4feb71e7}" ma:internalName="TaxCatchAll" ma:showField="CatchAllData" ma:web="5b747efb-b8de-44c3-930f-67734092e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47efb-b8de-44c3-930f-67734092e222" xsi:nil="true"/>
    <lcf76f155ced4ddcb4097134ff3c332f xmlns="56a5cba7-5ca6-4201-90af-65e676d3b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CE890-D26A-49DD-8BBC-02F077FDE807}"/>
</file>

<file path=customXml/itemProps2.xml><?xml version="1.0" encoding="utf-8"?>
<ds:datastoreItem xmlns:ds="http://schemas.openxmlformats.org/officeDocument/2006/customXml" ds:itemID="{07307308-69F5-47A4-A9AF-F866DD60241E}"/>
</file>

<file path=customXml/itemProps3.xml><?xml version="1.0" encoding="utf-8"?>
<ds:datastoreItem xmlns:ds="http://schemas.openxmlformats.org/officeDocument/2006/customXml" ds:itemID="{30DB0CD6-4CA2-454E-814F-436747157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2993</Words>
  <Characters>1707</Characters>
  <Application>Microsoft Office Word</Application>
  <DocSecurity>0</DocSecurity>
  <Lines>14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Fedorchuk</dc:creator>
  <cp:keywords/>
  <dc:description/>
  <cp:lastModifiedBy>Andriy Fedorchuk</cp:lastModifiedBy>
  <cp:revision>2</cp:revision>
  <dcterms:created xsi:type="dcterms:W3CDTF">2024-11-29T13:41:00Z</dcterms:created>
  <dcterms:modified xsi:type="dcterms:W3CDTF">2024-11-29T13:41:00Z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0x010100E45C7CCA155AE141802138603B4BAA73</vt:lpwstr>
  </property>
</Properties>
</file>